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document.xml.htm"/>
      <w:bookmarkStart w:id="1" w:name="ksprimarydocument"/>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Wolf Kurt James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 WATERVIEW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SHELTON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06484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PITNEY BOWES INC /DE/</w:t>
              </w:r>
            </w:hyperlink>
            <w:r>
              <w:rPr/>
              <w:t xml:space="preserve"> [ </w:t>
            </w:r>
            <w:r>
              <w:rPr>
                <w:rFonts w:ascii="Times;serif" w:hAnsi="Times;serif"/>
                <w:color w:val="0000FF"/>
                <w:sz w:val="24"/>
                <w:shd w:fill="FFFFFF" w:val="clear"/>
              </w:rPr>
              <w:t>PBI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&amp;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25"/>
        <w:gridCol w:w="912"/>
        <w:gridCol w:w="782"/>
        <w:gridCol w:w="606"/>
        <w:gridCol w:w="343"/>
        <w:gridCol w:w="822"/>
        <w:gridCol w:w="432"/>
        <w:gridCol w:w="796"/>
        <w:gridCol w:w="1259"/>
        <w:gridCol w:w="975"/>
        <w:gridCol w:w="115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2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2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5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2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08/27/2026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08/27/2026</w:t>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1,747</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17.42</w:t>
            </w:r>
            <w:r>
              <w:rPr>
                <w:rFonts w:ascii="Times;serif" w:hAnsi="Times;serif"/>
                <w:color w:val="008000"/>
                <w:position w:val="7"/>
                <w:sz w:val="16"/>
                <w:sz w:val="20"/>
                <w:shd w:fill="FFFFFF" w:val="clear"/>
              </w:rPr>
              <w:t>(2)</w:t>
            </w:r>
          </w:p>
        </w:tc>
        <w:tc>
          <w:tcPr>
            <w:tcW w:w="12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1,201,377</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Hestia Capital Partners, LP</w:t>
            </w:r>
            <w:r>
              <w:rPr>
                <w:rFonts w:ascii="Times;serif" w:hAnsi="Times;serif"/>
                <w:color w:val="008000"/>
                <w:position w:val="7"/>
                <w:sz w:val="16"/>
                <w:sz w:val="20"/>
                <w:shd w:fill="FFFFFF" w:val="clear"/>
              </w:rPr>
              <w:t>(3)</w:t>
            </w:r>
          </w:p>
        </w:tc>
      </w:tr>
      <w:tr>
        <w:trPr/>
        <w:tc>
          <w:tcPr>
            <w:tcW w:w="212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08/27/2026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08/27/2026</w:t>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173</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17.42</w:t>
            </w:r>
            <w:r>
              <w:rPr>
                <w:rFonts w:ascii="Times;serif" w:hAnsi="Times;serif"/>
                <w:color w:val="008000"/>
                <w:position w:val="7"/>
                <w:sz w:val="16"/>
                <w:sz w:val="20"/>
                <w:shd w:fill="FFFFFF" w:val="clear"/>
              </w:rPr>
              <w:t>(2)</w:t>
            </w:r>
          </w:p>
        </w:tc>
        <w:tc>
          <w:tcPr>
            <w:tcW w:w="12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122,790</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Separately Managed Accounts</w:t>
            </w:r>
            <w:r>
              <w:rPr>
                <w:rFonts w:ascii="Times;serif" w:hAnsi="Times;serif"/>
                <w:color w:val="008000"/>
                <w:position w:val="7"/>
                <w:sz w:val="16"/>
                <w:sz w:val="20"/>
                <w:shd w:fill="FFFFFF" w:val="clear"/>
              </w:rPr>
              <w:t>(3)</w:t>
            </w:r>
          </w:p>
        </w:tc>
      </w:tr>
      <w:tr>
        <w:trPr/>
        <w:tc>
          <w:tcPr>
            <w:tcW w:w="212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08/28/2026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08/28/2026</w:t>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361</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17.42</w:t>
            </w:r>
          </w:p>
        </w:tc>
        <w:tc>
          <w:tcPr>
            <w:tcW w:w="12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1,201,016</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Hestia Capital Partners, LP</w:t>
            </w:r>
            <w:r>
              <w:rPr>
                <w:rFonts w:ascii="Times;serif" w:hAnsi="Times;serif"/>
                <w:color w:val="008000"/>
                <w:position w:val="7"/>
                <w:sz w:val="16"/>
                <w:sz w:val="20"/>
                <w:shd w:fill="FFFFFF" w:val="clear"/>
              </w:rPr>
              <w:t>(3)</w:t>
            </w:r>
          </w:p>
        </w:tc>
      </w:tr>
      <w:tr>
        <w:trPr/>
        <w:tc>
          <w:tcPr>
            <w:tcW w:w="212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08/28/2026</w:t>
            </w:r>
          </w:p>
        </w:tc>
        <w:tc>
          <w:tcPr>
            <w:tcW w:w="7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08/28/2026</w:t>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36</w:t>
            </w:r>
          </w:p>
        </w:tc>
        <w:tc>
          <w:tcPr>
            <w:tcW w:w="43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17.42</w:t>
            </w:r>
          </w:p>
        </w:tc>
        <w:tc>
          <w:tcPr>
            <w:tcW w:w="12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122,754</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Separately Managed Accounts</w:t>
            </w:r>
            <w:r>
              <w:rPr>
                <w:rFonts w:ascii="Times;serif" w:hAnsi="Times;serif"/>
                <w:color w:val="008000"/>
                <w:position w:val="7"/>
                <w:sz w:val="16"/>
                <w:sz w:val="20"/>
                <w:shd w:fill="FFFFFF" w:val="clear"/>
              </w:rPr>
              <w:t>(3)</w:t>
            </w:r>
          </w:p>
        </w:tc>
      </w:tr>
      <w:tr>
        <w:trPr/>
        <w:tc>
          <w:tcPr>
            <w:tcW w:w="212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1,611,056</w:t>
            </w:r>
          </w:p>
        </w:tc>
        <w:tc>
          <w:tcPr>
            <w:tcW w:w="9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stock option exercises and broker-assisted sales transactions reported were effected pursuant to a Rule 10b5-1 trading plan adopted by the Reporting Person on November 10, 2025 during the Company's open window period (the "Trading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here is a weighted average price. This transaction was executed in multiple transactions at prices ranging from $17.42 to $17.425, inclusive. The reporting person undertakes to provide to the issuer, any security holder of the issuer, or the staff of the Securities and Exchange Commission, upon request, full information regarding the number of shares sold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reporting person is the managing member of (a) Hestia Partners GP, the general partner of Hestia Capital Partners, LP (Hestia Capital), and (b) Hestia LLC, the investment manager of Hestia Capital and certain separately managed accounts (the SMAs). As the managing member of each of Hestia Partners GP and Hestia LLC, the reporting person may be deemed the beneficial owner of the shares directly owned by Hestia Capital and shares held in the SMAs. The reporting person disclaims beneficial ownership of these securities except to the extent of his pecuniary interest therein.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Elisabeth Weinberg, as attorney-in-fact for Kurt James Wolf</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08/31/2026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693906" TargetMode="External"/><Relationship Id="rId5" Type="http://schemas.openxmlformats.org/officeDocument/2006/relationships/hyperlink" Target="http://www.sec.gov/cgi-bin/browse-edgar?action=getcompany&amp;CIK=000007881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819</Words>
  <Characters>4464</Characters>
  <CharactersWithSpaces>5178</CharactersWithSpaces>
  <Paragraphs>134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