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Pfeiffer Deborah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 WATERVIEW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PITNEY BOWES INC /DE/</w:t>
              </w:r>
            </w:hyperlink>
            <w:r>
              <w:rPr/>
              <w:t xml:space="preserve"> [ </w:t>
            </w:r>
            <w:r>
              <w:rPr>
                <w:rFonts w:ascii="Times;serif" w:hAnsi="Times;serif"/>
                <w:color w:val="0000FF"/>
                <w:sz w:val="24"/>
                <w:shd w:fill="FFFFFF" w:val="clear"/>
              </w:rPr>
              <w:t>PBI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Pres, Presort Services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17.112</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79,223</w:t>
            </w:r>
            <w:r>
              <w:rPr>
                <w:rFonts w:ascii="Times;serif" w:hAnsi="Times;serif"/>
                <w:color w:val="008000"/>
                <w:position w:val="7"/>
                <w:sz w:val="16"/>
                <w:sz w:val="20"/>
                <w:shd w:fill="FFFFFF" w:val="clear"/>
              </w:rPr>
              <w:t>(3)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exercises and broker-assisted sales transactions reported were effected pursuant to a Rule 10b5-1 trading plan adopted by the Reporting Person on June 9, 2026 during the Company's open window period (the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here is a weighted average price. This transaction was executed in multiple transactions at prices ranging from $17.04 to $17.22,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the acquisition of 1395.170701 shares through the Company's dividend reinvestment plan through September 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Elisabeth Weinberg, as attorney-in-fact for Deborah Pfeiffer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3902" TargetMode="External"/><Relationship Id="rId5" Type="http://schemas.openxmlformats.org/officeDocument/2006/relationships/hyperlink" Target="http://www.sec.gov/cgi-bin/browse-edgar?action=getcompany&amp;CIK=00000788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3781</Characters>
  <CharactersWithSpaces>4400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