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36"/>
        </w:rPr>
        <w:t>UNITED STATES</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36"/>
        </w:rPr>
        <w:t>SECURITIES AND EXCHANGE COMMISSION</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20"/>
        </w:rPr>
        <w:t>Washington, D.C. 20549</w:t>
      </w:r>
      <w:r>
        <w:rPr>
          <w:color w:val="000000"/>
        </w:rPr>
        <w:t>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r>
        <w:rPr>
          <w:rFonts w:ascii="Times New Roman;serif" w:hAnsi="Times New Roman;serif"/>
          <w:b w:val="false"/>
          <w:color w:val="000000"/>
          <w:sz w:val="20"/>
        </w:rPr>
        <w:br/>
        <w:br/>
      </w:r>
      <w:r>
        <w:rPr>
          <w:rFonts w:ascii="Times New Roman;serif" w:hAnsi="Times New Roman;serif"/>
          <w:b/>
          <w:color w:val="000000"/>
          <w:sz w:val="24"/>
        </w:rPr>
        <w:t xml:space="preserve">Current Report </w:t>
      </w:r>
      <w:r>
        <w:rPr>
          <w:rFonts w:ascii="Times New Roman;serif" w:hAnsi="Times New Roman;serif"/>
          <w:b w:val="false"/>
          <w:color w:val="000000"/>
          <w:sz w:val="20"/>
        </w:rPr>
        <w:br/>
        <w:br/>
      </w:r>
      <w:r>
        <w:rPr>
          <w:rFonts w:ascii="Times New Roman;serif" w:hAnsi="Times New Roman;serif"/>
          <w:b/>
          <w:color w:val="000000"/>
          <w:sz w:val="22"/>
        </w:rPr>
        <w:t>Pursuant to Section 13 or 15(d) of the Securities</w:t>
      </w:r>
      <w:r>
        <w:rPr>
          <w:color w:val="000000"/>
        </w:rPr>
        <w:t xml:space="preserve"> </w:t>
      </w:r>
      <w:r>
        <w:rPr>
          <w:rFonts w:ascii="Times New Roman;serif" w:hAnsi="Times New Roman;serif"/>
          <w:b w:val="false"/>
          <w:color w:val="000000"/>
          <w:sz w:val="22"/>
        </w:rPr>
        <w:br/>
      </w:r>
      <w:r>
        <w:rPr>
          <w:rFonts w:ascii="Times New Roman;serif" w:hAnsi="Times New Roman;serif"/>
          <w:b/>
          <w:color w:val="000000"/>
          <w:sz w:val="22"/>
        </w:rPr>
        <w:t>Exchange Act of 1934</w:t>
      </w:r>
    </w:p>
    <w:p>
      <w:pPr>
        <w:pStyle w:val="TextBody"/>
        <w:bidi w:val="0"/>
        <w:spacing w:lineRule="auto" w:line="288" w:before="0" w:after="0"/>
        <w:jc w:val="center"/>
        <w:rPr/>
      </w:pPr>
      <w:r>
        <w:rPr>
          <w:rFonts w:ascii="Times New Roman;serif" w:hAnsi="Times New Roman;serif"/>
          <w:b w:val="false"/>
          <w:color w:val="000000"/>
          <w:sz w:val="20"/>
        </w:rPr>
        <w:br/>
        <w:t>August 20, 2026</w:t>
      </w:r>
      <w:r>
        <w:rPr>
          <w:rFonts w:ascii="Times New Roman;serif" w:hAnsi="Times New Roman;serif"/>
          <w:b/>
          <w:color w:val="000000"/>
          <w:sz w:val="22"/>
        </w:rPr>
        <w:br/>
      </w:r>
      <w:r>
        <w:rPr>
          <w:rFonts w:ascii="Times New Roman;serif" w:hAnsi="Times New Roman;serif"/>
          <w:b w:val="false"/>
          <w:color w:val="000000"/>
          <w:sz w:val="20"/>
        </w:rPr>
        <w:t xml:space="preserve">Date of Report (Date of earliest event reported) </w:t>
        <w:br/>
        <w:br/>
      </w:r>
      <w:r>
        <w:rPr>
          <w:rFonts w:ascii="Times New Roman;serif" w:hAnsi="Times New Roman;serif"/>
          <w:b/>
          <w:color w:val="000000"/>
          <w:sz w:val="36"/>
        </w:rPr>
        <w:t>Pitney Bowes Inc.</w:t>
      </w:r>
      <w:r>
        <w:rPr>
          <w:color w:val="000000"/>
        </w:rPr>
        <w:t xml:space="preserve"> </w:t>
      </w:r>
      <w:r>
        <w:rPr>
          <w:rFonts w:ascii="Times New Roman;serif" w:hAnsi="Times New Roman;serif"/>
          <w:b w:val="false"/>
          <w:color w:val="000000"/>
          <w:sz w:val="20"/>
        </w:rPr>
        <w:br/>
        <w:t>(Exact name of registrant as specified in its charter)</w:t>
      </w:r>
    </w:p>
    <w:tbl>
      <w:tblPr>
        <w:tblW w:w="7828" w:type="dxa"/>
        <w:jc w:val="center"/>
        <w:tblInd w:w="0" w:type="dxa"/>
        <w:tblLayout w:type="fixed"/>
        <w:tblCellMar>
          <w:top w:w="28" w:type="dxa"/>
          <w:left w:w="28" w:type="dxa"/>
          <w:bottom w:w="28" w:type="dxa"/>
          <w:right w:w="28" w:type="dxa"/>
        </w:tblCellMar>
      </w:tblPr>
      <w:tblGrid>
        <w:gridCol w:w="933"/>
        <w:gridCol w:w="819"/>
        <w:gridCol w:w="828"/>
        <w:gridCol w:w="737"/>
        <w:gridCol w:w="737"/>
        <w:gridCol w:w="745"/>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19"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1-3579</w:t>
            </w:r>
          </w:p>
        </w:tc>
        <w:tc>
          <w:tcPr>
            <w:tcW w:w="3029"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06-0495050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r>
    </w:p>
    <w:tbl>
      <w:tblPr>
        <w:tblW w:w="6488" w:type="dxa"/>
        <w:jc w:val="center"/>
        <w:tblInd w:w="0" w:type="dxa"/>
        <w:tblLayout w:type="fixed"/>
        <w:tblCellMar>
          <w:top w:w="28" w:type="dxa"/>
          <w:left w:w="28" w:type="dxa"/>
          <w:bottom w:w="28" w:type="dxa"/>
          <w:right w:w="28" w:type="dxa"/>
        </w:tblCellMar>
      </w:tblPr>
      <w:tblGrid>
        <w:gridCol w:w="628"/>
        <w:gridCol w:w="553"/>
        <w:gridCol w:w="558"/>
        <w:gridCol w:w="308"/>
        <w:gridCol w:w="308"/>
        <w:gridCol w:w="308"/>
        <w:gridCol w:w="308"/>
        <w:gridCol w:w="308"/>
        <w:gridCol w:w="316"/>
        <w:gridCol w:w="259"/>
        <w:gridCol w:w="259"/>
        <w:gridCol w:w="261"/>
        <w:gridCol w:w="370"/>
        <w:gridCol w:w="370"/>
        <w:gridCol w:w="371"/>
        <w:gridCol w:w="210"/>
        <w:gridCol w:w="210"/>
        <w:gridCol w:w="211"/>
        <w:gridCol w:w="109"/>
        <w:gridCol w:w="109"/>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w:t>
            </w:r>
          </w:p>
        </w:tc>
        <w:tc>
          <w:tcPr>
            <w:tcW w:w="1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27 Waterview Drive,</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Shelton,</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Connecticut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06484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Telephone Number:</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(203)</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922-4000</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pPr>
      <w:r>
        <w:rPr>
          <w:rFonts w:ascii="Times New Roman;serif" w:hAnsi="Times New Roman;serif"/>
          <w:b w:val="false"/>
          <w:color w:val="000000"/>
          <w:sz w:val="20"/>
        </w:rPr>
        <w:br/>
      </w:r>
      <w:r>
        <w:rPr>
          <w:rFonts w:ascii="Times New Roman;serif" w:hAnsi="Times New Roman;serif"/>
          <w:b/>
          <w:color w:val="000000"/>
          <w:sz w:val="20"/>
        </w:rPr>
        <w:t>Not Applicable</w:t>
      </w:r>
      <w:r>
        <w:rPr>
          <w:color w:val="000000"/>
        </w:rPr>
        <w:t xml:space="preserve"> </w:t>
      </w:r>
      <w:r>
        <w:rPr>
          <w:rFonts w:ascii="Times New Roman;serif" w:hAnsi="Times New Roman;serif"/>
          <w:b w:val="false"/>
          <w:color w:val="000000"/>
          <w:sz w:val="20"/>
        </w:rPr>
        <w:b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316" w:before="200" w:after="283"/>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br/>
      </w: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br/>
      </w: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br/>
      </w: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97" w:type="dxa"/>
        <w:jc w:val="left"/>
        <w:tblInd w:w="0" w:type="dxa"/>
        <w:tblLayout w:type="fixed"/>
        <w:tblCellMar>
          <w:top w:w="28" w:type="dxa"/>
          <w:left w:w="28" w:type="dxa"/>
          <w:bottom w:w="28" w:type="dxa"/>
          <w:right w:w="28" w:type="dxa"/>
        </w:tblCellMar>
      </w:tblPr>
      <w:tblGrid>
        <w:gridCol w:w="1171"/>
        <w:gridCol w:w="1031"/>
        <w:gridCol w:w="1037"/>
        <w:gridCol w:w="109"/>
        <w:gridCol w:w="109"/>
        <w:gridCol w:w="109"/>
        <w:gridCol w:w="539"/>
        <w:gridCol w:w="539"/>
        <w:gridCol w:w="541"/>
        <w:gridCol w:w="109"/>
        <w:gridCol w:w="109"/>
        <w:gridCol w:w="109"/>
        <w:gridCol w:w="1138"/>
        <w:gridCol w:w="1138"/>
        <w:gridCol w:w="1609"/>
      </w:tblGrid>
      <w:tr>
        <w:trPr/>
        <w:tc>
          <w:tcPr>
            <w:tcW w:w="11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6.70% Notes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PBI.PRB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00" w:after="283"/>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br/>
        <w:t xml:space="preserve">Emerging growth company </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ITEM 8.01 OTHER EVENTS</w:t>
      </w:r>
    </w:p>
    <w:p>
      <w:pPr>
        <w:pStyle w:val="TextBody"/>
        <w:bidi w:val="0"/>
        <w:spacing w:lineRule="auto" w:line="288" w:before="0" w:after="120"/>
        <w:jc w:val="both"/>
        <w:rPr/>
      </w:pPr>
      <w:r>
        <w:rPr>
          <w:rFonts w:ascii="Times New Roman;serif" w:hAnsi="Times New Roman;serif"/>
          <w:b w:val="false"/>
          <w:color w:val="000000"/>
          <w:sz w:val="22"/>
        </w:rPr>
        <w:t>On August 20, 2026, Pitney Bowes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issued a press release announcing the commencement of its cash tender offers to purchase up to $50 million aggregate principal amount (subject to increase or decrease by the Company) of the Company’s 6.70% Notes due 2043 (the “</w:t>
      </w:r>
      <w:r>
        <w:rPr>
          <w:rFonts w:ascii="Times New Roman;serif" w:hAnsi="Times New Roman;serif"/>
          <w:b w:val="false"/>
          <w:color w:val="000000"/>
          <w:sz w:val="22"/>
          <w:u w:val="single"/>
        </w:rPr>
        <w:t>2043 Notes</w:t>
      </w:r>
      <w:r>
        <w:rPr>
          <w:color w:val="000000"/>
        </w:rPr>
        <w:t>”</w:t>
      </w:r>
      <w:r>
        <w:rPr>
          <w:rFonts w:ascii="Times New Roman;serif" w:hAnsi="Times New Roman;serif"/>
          <w:b w:val="false"/>
          <w:color w:val="000000"/>
          <w:sz w:val="22"/>
        </w:rPr>
        <w:t>) and 5.250% Medium-Term Notes due 2037 (the “</w:t>
      </w:r>
      <w:r>
        <w:rPr>
          <w:rFonts w:ascii="Times New Roman;serif" w:hAnsi="Times New Roman;serif"/>
          <w:b w:val="false"/>
          <w:color w:val="000000"/>
          <w:sz w:val="22"/>
          <w:u w:val="single"/>
        </w:rPr>
        <w:t>2037 Notes</w:t>
      </w:r>
      <w:r>
        <w:rPr>
          <w:color w:val="000000"/>
        </w:rPr>
        <w:t xml:space="preserve">” </w:t>
      </w:r>
      <w:r>
        <w:rPr>
          <w:rFonts w:ascii="Times New Roman;serif" w:hAnsi="Times New Roman;serif"/>
          <w:b w:val="false"/>
          <w:color w:val="000000"/>
          <w:sz w:val="22"/>
        </w:rPr>
        <w:t>and, together with the 2043 Notes, the “</w:t>
      </w:r>
      <w:r>
        <w:rPr>
          <w:rFonts w:ascii="Times New Roman;serif" w:hAnsi="Times New Roman;serif"/>
          <w:b w:val="false"/>
          <w:color w:val="000000"/>
          <w:sz w:val="22"/>
          <w:u w:val="single"/>
        </w:rPr>
        <w:t>Notes</w:t>
      </w:r>
      <w:r>
        <w:rPr>
          <w:color w:val="000000"/>
        </w:rPr>
        <w:t>”</w:t>
      </w:r>
      <w:r>
        <w:rPr>
          <w:rFonts w:ascii="Times New Roman;serif" w:hAnsi="Times New Roman;serif"/>
          <w:b w:val="false"/>
          <w:color w:val="000000"/>
          <w:sz w:val="22"/>
        </w:rPr>
        <w:t>), subject to certain conditions. A copy of the press release is attached hereto as Exhibit 99.1, which is incorporated by reference herein.</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This Current Report on Form 8-K does not constitute an offer to tender for, or purchase, any Notes or any other security, nor does it constitute an offer to sell or the solicitation of an offer to buy any security.</w:t>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(d) Exhibits</w:t>
      </w:r>
    </w:p>
    <w:tbl>
      <w:tblPr>
        <w:tblW w:w="9601" w:type="dxa"/>
        <w:jc w:val="left"/>
        <w:tblInd w:w="0" w:type="dxa"/>
        <w:tblLayout w:type="fixed"/>
        <w:tblCellMar>
          <w:top w:w="28" w:type="dxa"/>
          <w:left w:w="28" w:type="dxa"/>
          <w:bottom w:w="28" w:type="dxa"/>
          <w:right w:w="28" w:type="dxa"/>
        </w:tblCellMar>
      </w:tblPr>
      <w:tblGrid>
        <w:gridCol w:w="196"/>
        <w:gridCol w:w="172"/>
        <w:gridCol w:w="173"/>
        <w:gridCol w:w="2654"/>
        <w:gridCol w:w="2654"/>
        <w:gridCol w:w="3752"/>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bi-2026xtenderofferxlaunc.htm">
              <w:r>
                <w:rPr>
                  <w:rStyle w:val="InternetLink"/>
                  <w:rFonts w:ascii="Times New Roman;serif" w:hAnsi="Times New Roman;serif"/>
                  <w:b w:val="false"/>
                  <w:color w:val="0000FF"/>
                  <w:sz w:val="22"/>
                  <w:u w:val="single"/>
                </w:rPr>
                <w:t>Press release of Pitney Bowes Inc. dated August 20, 2026.</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9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cover page of Pitney Bowes Inc.'s Current Report on Form 8-K, formatted in Inline XBRL.</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4"/>
        </w:rPr>
        <w:t>SIGNATURES</w:t>
      </w:r>
      <w:r>
        <w:rPr>
          <w:color w:val="000000"/>
        </w:rPr>
        <w:t xml:space="preserv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240" w:after="283"/>
        <w:ind w:left="0" w:right="0" w:firstLine="720"/>
        <w:jc w:val="both"/>
        <w:rPr>
          <w:color w:val="000000"/>
        </w:rPr>
      </w:pPr>
      <w:r>
        <w:rPr>
          <w:color w:val="000000"/>
        </w:rPr>
        <w:t> </w:t>
      </w:r>
    </w:p>
    <w:tbl>
      <w:tblPr>
        <w:tblW w:w="9433" w:type="dxa"/>
        <w:jc w:val="left"/>
        <w:tblInd w:w="0" w:type="dxa"/>
        <w:tblLayout w:type="fixed"/>
        <w:tblCellMar>
          <w:top w:w="28" w:type="dxa"/>
          <w:left w:w="28" w:type="dxa"/>
          <w:bottom w:w="28" w:type="dxa"/>
          <w:right w:w="28" w:type="dxa"/>
        </w:tblCellMar>
      </w:tblPr>
      <w:tblGrid>
        <w:gridCol w:w="824"/>
        <w:gridCol w:w="726"/>
        <w:gridCol w:w="730"/>
        <w:gridCol w:w="542"/>
        <w:gridCol w:w="542"/>
        <w:gridCol w:w="542"/>
        <w:gridCol w:w="1607"/>
        <w:gridCol w:w="1607"/>
        <w:gridCol w:w="2313"/>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Pitney Bowes Inc.</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5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Lauren Freeman-Bosworth</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Lauren Freeman-Bosworth</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August 20, 2026</w:t>
            </w:r>
          </w:p>
        </w:tc>
        <w:tc>
          <w:tcPr>
            <w:tcW w:w="7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General Counsel and Corporate Secretary</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drawing>
          <wp:inline distT="0" distB="0" distL="0" distR="0">
            <wp:extent cx="1733550" cy="6477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733550" cy="647700"/>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4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8"/>
        </w:rPr>
      </w:pPr>
      <w:r>
        <w:rPr>
          <w:rFonts w:ascii="Times New Roman;serif" w:hAnsi="Times New Roman;serif"/>
          <w:b/>
          <w:color w:val="000000"/>
          <w:sz w:val="28"/>
        </w:rPr>
        <w:t>Exhibit 99.1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Pitney Bowes Inc. Commences Cash Tender Offers for Two Series of Notes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SHELTON, Conn., August 20, 2026 - Pitney Bowes Inc. (NYSE:PBI) (“Pitney Bowes” or the “Company”) announced the commencement of tender offers to purchase (each offer a “Tender Offer” and collectively, the “Tender Offers”), subject to certain terms and conditions, up to $50,000,000 aggregate principal amount (subject to increase or decrease by the Company, the “Maximum Tender Amount”) of its outstanding 6.70% Notes due 2043 (the “2043 Notes”) and 5.250% Medium-Term Notes due 2037 (the “2037 Notes” and, together with the 2043 Notes, the “Notes”) at the prices set forth below.</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Tender Offers are scheduled to expire at 5:00 p.m., New York City time, on September 18, 2026 (the “Expiration Time”), unless extended or earlier terminated by the Company. The Tender Offers are being made pursuant to an Offer to Purchase dated August 20, 2026 (the “Offer to Purchase”), which sets forth a more detailed description of the Tender Offers. Holders of the Notes are urged to carefully read the Offer to Purchase before making any decision with respect to the Tender Offers.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Company is offering to purchase up to $50,000,000 aggregate principal amount of the Notes, subject to the acceptance priority levels set forth in the table below (the “Acceptance Priority Levels”). As discussed in more detail in the Offer to Purchase, the Company reserves the right, but is under no obligation, to increase or decrease the Maximum Tender Amount, at any time, subject to compliance with applicable law.</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 sets forth certain terms of the Tender Offers: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66"/>
        <w:gridCol w:w="319"/>
        <w:gridCol w:w="319"/>
        <w:gridCol w:w="319"/>
        <w:gridCol w:w="319"/>
        <w:gridCol w:w="319"/>
        <w:gridCol w:w="211"/>
        <w:gridCol w:w="211"/>
        <w:gridCol w:w="211"/>
        <w:gridCol w:w="192"/>
        <w:gridCol w:w="169"/>
        <w:gridCol w:w="175"/>
        <w:gridCol w:w="855"/>
        <w:gridCol w:w="806"/>
        <w:gridCol w:w="809"/>
        <w:gridCol w:w="538"/>
        <w:gridCol w:w="538"/>
        <w:gridCol w:w="539"/>
        <w:gridCol w:w="109"/>
        <w:gridCol w:w="109"/>
        <w:gridCol w:w="109"/>
        <w:gridCol w:w="821"/>
        <w:gridCol w:w="757"/>
        <w:gridCol w:w="1085"/>
      </w:tblGrid>
      <w:tr>
        <w:trPr/>
        <w:tc>
          <w:tcPr>
            <w:tcW w:w="36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 per $25 / $1,000 Principal Amount of Notes</w:t>
            </w:r>
          </w:p>
        </w:tc>
      </w:tr>
      <w:tr>
        <w:trPr/>
        <w:tc>
          <w:tcPr>
            <w:tcW w:w="196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Notes</w:t>
            </w:r>
          </w:p>
        </w:tc>
        <w:tc>
          <w:tcPr>
            <w:tcW w:w="1169"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CUSIP Number</w:t>
            </w:r>
          </w:p>
        </w:tc>
        <w:tc>
          <w:tcPr>
            <w:tcW w:w="247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Aggregate Principal Amount Outstanding</w:t>
            </w:r>
            <w:r>
              <w:rPr>
                <w:rFonts w:ascii="Arial;sans-serif" w:hAnsi="Arial;sans-serif"/>
                <w:b/>
                <w:color w:val="000000"/>
                <w:sz w:val="10"/>
              </w:rPr>
              <w:t>(1)</w:t>
            </w:r>
          </w:p>
        </w:tc>
        <w:tc>
          <w:tcPr>
            <w:tcW w:w="16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Acceptance Priority Level</w:t>
            </w:r>
          </w:p>
        </w:tc>
        <w:tc>
          <w:tcPr>
            <w:tcW w:w="299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Tender Offer Consideration</w:t>
            </w:r>
            <w:r>
              <w:rPr>
                <w:rFonts w:ascii="Arial;sans-serif" w:hAnsi="Arial;sans-serif"/>
                <w:b/>
                <w:color w:val="000000"/>
                <w:sz w:val="10"/>
              </w:rPr>
              <w:t>(2)</w:t>
            </w:r>
          </w:p>
        </w:tc>
      </w:tr>
      <w:tr>
        <w:trPr/>
        <w:tc>
          <w:tcPr>
            <w:tcW w:w="196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40"/>
              <w:jc w:val="left"/>
              <w:rPr>
                <w:rFonts w:ascii="Arial;sans-serif" w:hAnsi="Arial;sans-serif"/>
                <w:b/>
                <w:color w:val="000000"/>
                <w:sz w:val="16"/>
              </w:rPr>
            </w:pPr>
            <w:r>
              <w:rPr>
                <w:rFonts w:ascii="Arial;sans-serif" w:hAnsi="Arial;sans-serif"/>
                <w:b/>
                <w:color w:val="000000"/>
                <w:sz w:val="16"/>
              </w:rPr>
              <w:t>6.70% Notes due 2043</w:t>
            </w:r>
          </w:p>
          <w:p>
            <w:pPr>
              <w:pStyle w:val="TableContents"/>
              <w:bidi w:val="0"/>
              <w:spacing w:before="0" w:after="0"/>
              <w:jc w:val="left"/>
              <w:rPr/>
            </w:pPr>
            <w:r>
              <w:rPr/>
            </w:r>
          </w:p>
        </w:tc>
        <w:tc>
          <w:tcPr>
            <w:tcW w:w="1169"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724479506</w:t>
            </w:r>
          </w:p>
        </w:tc>
        <w:tc>
          <w:tcPr>
            <w:tcW w:w="24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$349,278,625</w:t>
            </w:r>
          </w:p>
        </w:tc>
        <w:tc>
          <w:tcPr>
            <w:tcW w:w="16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299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$22.00</w:t>
            </w:r>
          </w:p>
        </w:tc>
      </w:tr>
      <w:tr>
        <w:trPr/>
        <w:tc>
          <w:tcPr>
            <w:tcW w:w="1961"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40"/>
              <w:jc w:val="left"/>
              <w:rPr/>
            </w:pPr>
            <w:r>
              <w:rPr/>
            </w:r>
          </w:p>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5.250% Medium-Term Notes due 2037</w:t>
            </w:r>
          </w:p>
        </w:tc>
        <w:tc>
          <w:tcPr>
            <w:tcW w:w="1169"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240" w:after="283"/>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72447XAB3</w:t>
            </w:r>
          </w:p>
        </w:tc>
        <w:tc>
          <w:tcPr>
            <w:tcW w:w="247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$31,143,000</w:t>
            </w:r>
          </w:p>
        </w:tc>
        <w:tc>
          <w:tcPr>
            <w:tcW w:w="161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299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$850.00</w:t>
            </w:r>
          </w:p>
        </w:tc>
      </w:tr>
    </w:tbl>
    <w:tbl>
      <w:tblPr>
        <w:tblW w:w="3404" w:type="dxa"/>
        <w:jc w:val="left"/>
        <w:tblInd w:w="0" w:type="dxa"/>
        <w:tblLayout w:type="fixed"/>
        <w:tblCellMar>
          <w:top w:w="28" w:type="dxa"/>
          <w:left w:w="28" w:type="dxa"/>
          <w:bottom w:w="28" w:type="dxa"/>
          <w:right w:w="28" w:type="dxa"/>
        </w:tblCellMar>
      </w:tblPr>
      <w:tblGrid>
        <w:gridCol w:w="1089"/>
        <w:gridCol w:w="955"/>
        <w:gridCol w:w="1360"/>
      </w:tblGrid>
      <w:tr>
        <w:trPr/>
        <w:tc>
          <w:tcPr>
            <w:tcW w:w="10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    As of the date of the Offer to Purchase.</w:t>
            </w:r>
          </w:p>
        </w:tc>
      </w:tr>
    </w:tbl>
    <w:p>
      <w:pPr>
        <w:pStyle w:val="TextBody"/>
        <w:bidi w:val="0"/>
        <w:spacing w:lineRule="auto" w:line="288" w:before="0" w:after="0"/>
        <w:ind w:left="0" w:right="0" w:hanging="720"/>
        <w:jc w:val="left"/>
        <w:rPr>
          <w:rFonts w:ascii="Arial;sans-serif" w:hAnsi="Arial;sans-serif"/>
          <w:b w:val="false"/>
          <w:color w:val="000000"/>
          <w:sz w:val="16"/>
        </w:rPr>
      </w:pPr>
      <w:r>
        <w:rPr>
          <w:rFonts w:ascii="Arial;sans-serif" w:hAnsi="Arial;sans-serif"/>
          <w:b w:val="false"/>
          <w:color w:val="000000"/>
          <w:sz w:val="16"/>
        </w:rPr>
        <w:t>(2)    Excludes accrued and unpaid interest from the applicable last interest payment date up to, but not including, the Settlement Date.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the terms and conditions of the Tender Offers, holders of the Notes who validly tender their Notes prior to the expiration of the Tender Offers will be eligible to receive the tender offer consideration set forth in the above table for each $25 principal amount of 2043 Notes and each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01040"/>
                <wp:effectExtent l="0" t="0" r="0" b="0"/>
                <wp:wrapNone/>
                <wp:docPr id="5" name="Frame4"/>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$1,000 principal amount of 2037 Notes (the “Tender Offer Consideration”). Holders whose Notes are accepted for purchase will also receive accrued and unpaid interest up to, but not including, the Settlement Date.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Holders of the Notes described in the table below may withdraw their validly tendered Notes at any time at or prior to 5:00 p.m., New York City time, on September 10, 2026 (the “Withdrawal Deadline”), unless extended by the Company.</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will purchase any Notes that are validly tendered and not validly withdrawn prior to the Withdrawal Deadline, up to the Maximum Tender Amount and subject to the satisfaction and waiver of all conditions to the Tender Offers, promptly following the Expiration Time (the “Settlement Date”). The Settlement Date will occur promptly following the Expiration Time and is currently expected to be on September 22, 2026, assuming all conditions to the Tender Offers have been satisfied or waived. The amounts of each series of Notes that are purchased on the Settlement Date will be determined in accordance with the Acceptance Priority Levels, with 1 being the highest Acceptance Priority Level and 2 being the lowest Acceptance Priority Level. </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Company currently intends to finance the purchase of Notes tendered in the Tender Offers with cash on hand. The obligation of the Company to accept for purchase and to pay the Tender Offer Consideration and the accrued and unpaid interest on the Notes pursuant to the Tender Offers is not subject to any minimum tender condition, but is subject to the Maximum Tender Amount, the application of the Acceptance Priority Levels and the satisfaction or waiver of certain conditions described in the Offer to Purchase. The Tender Offers may be amended, extended, terminated or withdrawn.</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Company has agreed, upon consummation of the Tender Offers, to pay a soliciting dealer fee equal to $0.125 for each $25 principal amount of 2043 Notes and $5.00 for each $1,000 principal amount of 2037 Notes, in each case, that are validly tendered pursuant to the Tender Offers to retail brokers that are appropriately designated by their beneficial holder clients to receive this fee, provided that such fee will only be paid with respect to tenders by beneficial holders whose aggregate principal amount of Notes is $250,000 or less.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The Company has retained BofA Securities to serve as Dealer Manager for the Tender Offers. Global Bondholder Services Corporation has been retained to serve as the Information Agent and Tender Agent for the Tender Offers. Questions regarding the Tender Offers may be directed to BofA Securities at debt_advisory@bofa.com or by calling toll-free at (888) 292-0070 or collect at (646) 743-0698. The Offer to Purchase may be obtained by calling Global Bondholder Services Corporation at (855) 654-2014 (toll-free) or (212) 430-3774 (collect for banks and brokers) or by visiting www.gbsc-usa.com/pitneybowes.</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is making the Tender Offers only by, and pursuant to, the terms of the Offer to Purchase. None of the Company, the Dealer Manager, the Information Agent and the Tender Agent make any recommendation as to whether holders of the Notes should tender or refrain from tendering their Notes. Holders of the Notes must make their own decision as to whether to tender Notes and, if so, the principal amount of the Notes to tender. The Tender Offers are not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being made to holders of the Notes in any jurisdiction in which the making or acceptance thereof would not be in compliance with the securities, blue sky or other laws of such jurisdiction. In any jurisdiction in which the securities laws or blue sky laws require the Tender Offers to be made by a licensed broker or dealer, the Tender Offers will be deemed to be made on behalf of the Company by the Dealer Manager or one or more registered brokers or dealers that are licensed under the laws of such jurisdiction.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press release does not constitute an offer to purchase securities or a solicitation of an offer to sell any securities or an offer to sell or the solicitation of an offer to purchase any securities nor does it constitute an offer or solicitation in any jurisdiction in which such offer or solicitation is unlawful.</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About Pitney Bowes</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Pitney Bowes (NYSE: PBI) is a technology-driven company that provides digital shipping solutions, mailing innovation, and financial services to clients around the world – including more than 90 percent of the Fortune 500. Small businesses to large enterprises, and government entities rely on Pitney Bowes to reduce the complexity of sending mail and parcels. For the latest news, corporate announcements, and financial results, visit www.pitneybowes.com/us/newsroom. For additional information, visit Pitney Bowes at www.pitneybowes.com.</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Forward-Looking Statements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statements that constitute forward-looking statements within the meaning of the Private Securities Litigation Reform Act of 1995, including statements concerning the timing and completion of the Tender Offers. Words such as “estimate,” “believe,” “expect,” “anticipate,” “intend” and similar expressions may identify such forward-looking statements. Investors are cautioned that any such forward-looking statements are not guarantees of future performance or results and involve risks and uncertainties, and that actual results, developments or events may differ materially from those in the forward-looking statements as a result of various factors, including financial community perceptions of the Company and its business, operations, financial condition and the industries in which it operates and the other factors as more fully outlined in the Company’s Annual Report on Form 10-K/A for the year ended December 31, 2025 and other reports filed with the Securities and Exchange Commission during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before="0" w:after="0"/>
        <w:jc w:val="both"/>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For Investors: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Alex Brown</w:t>
        <w:br/>
        <w:t>investorrelations@pb.com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1845</Words>
  <Characters>9851</Characters>
  <CharactersWithSpaces>11639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